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36</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jc w:val="center"/>
              <w:rPr/>
            </w:pPr>
            <w:r>
              <w:rPr>
                <w:rFonts w:eastAsia="Times New Roman" w:cs="Times New Roman" w:ascii="Times New Roman" w:hAnsi="Times New Roman"/>
                <w:b/>
                <w:bCs/>
                <w:color w:val="000000"/>
                <w:sz w:val="28"/>
                <w:szCs w:val="28"/>
                <w:lang w:val="fr-FR" w:eastAsia="zh-CN" w:bidi="ar-SA"/>
              </w:rPr>
              <w:t xml:space="preserve">6/1. Fêtes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b/>
                <w:b/>
                <w:bCs/>
                <w:color w:val="000000"/>
                <w:lang w:val="fr-FR" w:eastAsia="zh-CN" w:bidi="ar-SA"/>
              </w:rPr>
            </w:pPr>
            <w:r>
              <w:rPr>
                <w:rFonts w:eastAsia="Times New Roman" w:cs="Times New Roman" w:ascii="Times New Roman" w:hAnsi="Times New Roman"/>
                <w:b/>
                <w:bCs/>
                <w:color w:val="000000"/>
                <w:lang w:val="fr-FR" w:eastAsia="zh-CN" w:bidi="ar-SA"/>
              </w:rPr>
              <w:t>On va faire des cadeaux</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rFonts w:ascii="Times New Roman" w:hAnsi="Times New Roman" w:eastAsia="Times New Roman" w:cs="Times New Roman"/>
                <w:color w:val="000000"/>
                <w:szCs w:val="20"/>
                <w:lang w:val="sr-RS" w:eastAsia="sr-Latn-CS"/>
              </w:rPr>
            </w:pPr>
            <w:r>
              <w:rPr>
                <w:rFonts w:eastAsia="Times New Roman" w:cs="Times New Roman" w:ascii="Times New Roman" w:hAnsi="Times New Roman"/>
                <w:color w:val="000000"/>
                <w:szCs w:val="20"/>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Израда и уручење поклона за Нову годину. Честитање и захваљивање.</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једноставно исказане честитке и одговори на њих;</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упути једноставне честитке;</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Фронтални, индивидуални, 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Демонстративна, вербална, </w:t>
            </w:r>
            <w:r>
              <w:rPr>
                <w:rFonts w:eastAsia="Times New Roman" w:cs="Times New Roman" w:ascii="Times New Roman" w:hAnsi="Times New Roman"/>
                <w:lang w:val="sr-RS" w:eastAsia="sr-Latn-CS"/>
              </w:rPr>
              <w:t>мануелне активности</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p>
            <w:pPr>
              <w:pStyle w:val="Normal"/>
              <w:rPr>
                <w:rFonts w:ascii="Times New Roman" w:hAnsi="Times New Roman"/>
                <w:lang w:val="sr-RS"/>
              </w:rPr>
            </w:pPr>
            <w:r>
              <w:rPr>
                <w:rFonts w:ascii="Times New Roman" w:hAnsi="Times New Roman"/>
                <w:lang w:val="sr-RS"/>
              </w:rPr>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 xml:space="preserve">Ликовна култура, грађанско васпитање. </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pPr>
            <w:r>
              <w:rPr>
                <w:rFonts w:eastAsia="Times New Roman" w:cs="Times New Roman" w:ascii="Times New Roman" w:hAnsi="Times New Roman"/>
                <w:b w:val="false"/>
                <w:bCs w:val="false"/>
                <w:i w:val="false"/>
                <w:iCs w:val="false"/>
                <w:color w:val="000000"/>
                <w:sz w:val="22"/>
                <w:szCs w:val="22"/>
                <w:u w:val="none"/>
                <w:lang w:val="sr-Latn-RS" w:eastAsia="sr-Latn-CS" w:bidi="ar-SA"/>
              </w:rPr>
              <w:t xml:space="preserve">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ученици по жељи формирају групе и припремају се за рад. Наставник најављује да ће све што направе тог часа (честитке, украсе…), на крају часа разменити са другим учеником из одељења. Ученици записују своја имена на папириће, како би касније извлачили коме ће уручити поклон.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3</w:t>
            </w:r>
            <w:r>
              <w:rPr>
                <w:rFonts w:eastAsia="Times New Roman" w:cs="Times New Roman" w:ascii="Times New Roman" w:hAnsi="Times New Roman"/>
                <w:color w:val="000000"/>
                <w:lang w:val="sr-RS" w:eastAsia="sr-Latn-CS"/>
              </w:rPr>
              <w:t>0</w:t>
            </w:r>
            <w:r>
              <w:rPr>
                <w:rFonts w:eastAsia="Times New Roman" w:cs="Times New Roman" w:ascii="Times New Roman" w:hAnsi="Times New Roman"/>
                <w:color w:val="000000"/>
                <w:lang w:val="sr-RS" w:eastAsia="sr-Latn-CS"/>
              </w:rPr>
              <w:t xml:space="preserve">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bidi="ar-SA"/>
              </w:rPr>
            </w:pPr>
            <w:r>
              <w:rPr/>
            </w:r>
          </w:p>
          <w:p>
            <w:pPr>
              <w:pStyle w:val="Normal"/>
              <w:jc w:val="both"/>
              <w:rPr>
                <w:u w:val="none"/>
              </w:rPr>
            </w:pPr>
            <w:r>
              <w:rPr>
                <w:rFonts w:eastAsia="Times New Roman" w:cs="Times New Roman" w:ascii="Times New Roman" w:hAnsi="Times New Roman"/>
                <w:b w:val="false"/>
                <w:bCs w:val="false"/>
                <w:color w:val="000000"/>
                <w:sz w:val="22"/>
                <w:szCs w:val="22"/>
                <w:u w:val="none"/>
                <w:lang w:val="sr-RS" w:eastAsia="sr-Latn-CS" w:bidi="ar-SA"/>
              </w:rPr>
              <w:t xml:space="preserve">Ученици праве поклоне. Наставник пушта музику, надгледа рад ученика, решава евентуалне недоумице.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Ученици излазе пред таблу, извлаче папирић са именом, позивају друга или другарицу, честитају Нову годину и уручују поклон. Ученик који је примио поклон се захваљује, затим он извлачи папирић и тако редом док сви ученици не добију поклон. </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Н</w:t>
            </w:r>
            <w:r>
              <w:rPr>
                <w:rFonts w:eastAsia="Times New Roman" w:cs="Times New Roman" w:ascii="Times New Roman" w:hAnsi="Times New Roman"/>
                <w:b w:val="false"/>
                <w:bCs w:val="false"/>
                <w:i w:val="false"/>
                <w:iCs w:val="false"/>
                <w:color w:val="000000"/>
                <w:szCs w:val="20"/>
                <w:lang w:val="sr-RS" w:eastAsia="sr-Latn-CS"/>
              </w:rPr>
              <w:t xml:space="preserve">аставник најављује за следећи час догађај Ја имам таленат. Потребно је да ученици размисле шта умеју (плес, певање, рецитовање или нека друга способност) и да то прикажу.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Application>LibreOffice/5.3.2.2$Windows_x86 LibreOffice_project/6cd4f1ef626f15116896b1d8e1398b56da0d0ee1</Application>
  <Pages>2</Pages>
  <Words>268</Words>
  <Characters>1555</Characters>
  <CharactersWithSpaces>1811</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2020-08-07T15:39:22Z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